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245"/>
        <w:gridCol w:w="4843"/>
        <w:gridCol w:w="2166"/>
        <w:gridCol w:w="490"/>
        <w:gridCol w:w="624"/>
        <w:gridCol w:w="1265"/>
        <w:gridCol w:w="269"/>
        <w:gridCol w:w="1632"/>
        <w:gridCol w:w="351"/>
        <w:gridCol w:w="1632"/>
        <w:gridCol w:w="90"/>
        <w:gridCol w:w="1905"/>
        <w:gridCol w:w="3888"/>
      </w:tblGrid>
      <w:tr w:rsidR="00802C2C" w:rsidRPr="009B0C9B" w:rsidTr="00932943">
        <w:trPr>
          <w:trHeight w:val="300"/>
        </w:trPr>
        <w:tc>
          <w:tcPr>
            <w:tcW w:w="305"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bookmarkStart w:id="0" w:name="_GoBack"/>
            <w:bookmarkEnd w:id="0"/>
          </w:p>
        </w:tc>
        <w:tc>
          <w:tcPr>
            <w:tcW w:w="118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804" w:type="pct"/>
            <w:gridSpan w:val="3"/>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376"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86" w:type="pct"/>
            <w:gridSpan w:val="2"/>
            <w:tcBorders>
              <w:top w:val="nil"/>
              <w:left w:val="nil"/>
              <w:bottom w:val="nil"/>
              <w:right w:val="nil"/>
            </w:tcBorders>
          </w:tcPr>
          <w:p w:rsidR="00802C2C" w:rsidRPr="009B0C9B" w:rsidRDefault="00802C2C" w:rsidP="009B0C9B">
            <w:pPr>
              <w:rPr>
                <w:color w:val="000000"/>
                <w:sz w:val="24"/>
                <w:szCs w:val="24"/>
              </w:rPr>
            </w:pPr>
          </w:p>
        </w:tc>
        <w:tc>
          <w:tcPr>
            <w:tcW w:w="422"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6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953" w:type="pct"/>
            <w:tcBorders>
              <w:top w:val="nil"/>
              <w:left w:val="nil"/>
              <w:bottom w:val="nil"/>
              <w:right w:val="nil"/>
            </w:tcBorders>
            <w:shd w:val="clear" w:color="auto" w:fill="auto"/>
            <w:noWrap/>
            <w:vAlign w:val="bottom"/>
            <w:hideMark/>
          </w:tcPr>
          <w:p w:rsidR="00802C2C" w:rsidRPr="009B0C9B" w:rsidRDefault="00802C2C" w:rsidP="009B0C9B">
            <w:pPr>
              <w:jc w:val="right"/>
              <w:rPr>
                <w:color w:val="000000"/>
                <w:sz w:val="24"/>
                <w:szCs w:val="24"/>
              </w:rPr>
            </w:pPr>
            <w:r w:rsidRPr="009B0C9B">
              <w:rPr>
                <w:sz w:val="24"/>
                <w:szCs w:val="24"/>
              </w:rPr>
              <w:t>тыс. руб.</w:t>
            </w:r>
          </w:p>
        </w:tc>
      </w:tr>
      <w:tr w:rsidR="00802C2C" w:rsidRPr="009B0C9B" w:rsidTr="00932943">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п/п</w:t>
            </w:r>
          </w:p>
        </w:tc>
        <w:tc>
          <w:tcPr>
            <w:tcW w:w="1187"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Наименование мероприятия</w:t>
            </w:r>
          </w:p>
        </w:tc>
        <w:tc>
          <w:tcPr>
            <w:tcW w:w="531" w:type="pct"/>
            <w:tcBorders>
              <w:top w:val="single" w:sz="4" w:space="0" w:color="auto"/>
              <w:left w:val="nil"/>
              <w:bottom w:val="single" w:sz="4" w:space="0" w:color="auto"/>
              <w:right w:val="nil"/>
            </w:tcBorders>
          </w:tcPr>
          <w:p w:rsidR="00802C2C" w:rsidRPr="009B0C9B" w:rsidRDefault="00802C2C" w:rsidP="009B0C9B">
            <w:pPr>
              <w:jc w:val="center"/>
              <w:rPr>
                <w:color w:val="000000"/>
                <w:sz w:val="24"/>
                <w:szCs w:val="24"/>
              </w:rPr>
            </w:pPr>
          </w:p>
        </w:tc>
        <w:tc>
          <w:tcPr>
            <w:tcW w:w="2024" w:type="pct"/>
            <w:gridSpan w:val="9"/>
            <w:tcBorders>
              <w:top w:val="single" w:sz="4" w:space="0" w:color="auto"/>
              <w:left w:val="nil"/>
              <w:bottom w:val="single" w:sz="4" w:space="0" w:color="auto"/>
              <w:right w:val="single" w:sz="4" w:space="0" w:color="000000"/>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Ожидаемый результат </w:t>
            </w:r>
          </w:p>
        </w:tc>
      </w:tr>
      <w:tr w:rsidR="00802C2C" w:rsidRPr="009B0C9B" w:rsidTr="00932943">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1187"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Всего по программе</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2020</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2022</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802C2C">
            <w:pPr>
              <w:jc w:val="center"/>
              <w:rPr>
                <w:color w:val="000000"/>
                <w:sz w:val="24"/>
                <w:szCs w:val="24"/>
              </w:rPr>
            </w:pPr>
            <w:r w:rsidRPr="009B0C9B">
              <w:rPr>
                <w:color w:val="000000"/>
                <w:sz w:val="24"/>
                <w:szCs w:val="24"/>
              </w:rPr>
              <w:t>202</w:t>
            </w:r>
            <w:r>
              <w:rPr>
                <w:color w:val="000000"/>
                <w:sz w:val="24"/>
                <w:szCs w:val="24"/>
              </w:rPr>
              <w:t>3</w:t>
            </w:r>
          </w:p>
        </w:tc>
        <w:tc>
          <w:tcPr>
            <w:tcW w:w="953"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r>
      <w:tr w:rsidR="00802C2C" w:rsidRPr="009B0C9B" w:rsidTr="00932943">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1</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3</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4</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5</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6</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7</w:t>
            </w:r>
          </w:p>
        </w:tc>
      </w:tr>
      <w:tr w:rsidR="00802C2C" w:rsidRPr="009B0C9B" w:rsidTr="00932943">
        <w:trPr>
          <w:trHeight w:val="945"/>
        </w:trPr>
        <w:tc>
          <w:tcPr>
            <w:tcW w:w="305"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1.</w:t>
            </w:r>
          </w:p>
        </w:tc>
        <w:tc>
          <w:tcPr>
            <w:tcW w:w="1187"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Содержание имущества, находящегося в муниципальной собственности</w:t>
            </w:r>
          </w:p>
        </w:tc>
        <w:tc>
          <w:tcPr>
            <w:tcW w:w="651"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6"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86" w:type="pct"/>
            <w:gridSpan w:val="2"/>
            <w:tcBorders>
              <w:top w:val="single" w:sz="4" w:space="0" w:color="auto"/>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 </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Снижение размера физического износа, содержание муниципального имущества в надлежащем состоянии продление сроков эксплуатации, увеличение имущества за счет приобретения</w:t>
            </w: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ГПД кочегары отопление </w:t>
            </w:r>
          </w:p>
        </w:tc>
        <w:tc>
          <w:tcPr>
            <w:tcW w:w="651" w:type="pct"/>
            <w:gridSpan w:val="2"/>
            <w:tcBorders>
              <w:top w:val="single" w:sz="4" w:space="0" w:color="auto"/>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550,4</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100,5</w:t>
            </w:r>
          </w:p>
        </w:tc>
        <w:tc>
          <w:tcPr>
            <w:tcW w:w="466" w:type="pct"/>
            <w:gridSpan w:val="2"/>
            <w:tcBorders>
              <w:top w:val="single" w:sz="4" w:space="0" w:color="auto"/>
              <w:left w:val="nil"/>
              <w:bottom w:val="single" w:sz="4" w:space="0" w:color="auto"/>
              <w:right w:val="single" w:sz="4" w:space="0" w:color="auto"/>
            </w:tcBorders>
            <w:shd w:val="clear" w:color="auto" w:fill="auto"/>
          </w:tcPr>
          <w:p w:rsidR="000E50CB" w:rsidRPr="00754FDF" w:rsidRDefault="00754FDF" w:rsidP="009B0C9B">
            <w:pPr>
              <w:jc w:val="center"/>
              <w:rPr>
                <w:sz w:val="24"/>
                <w:szCs w:val="24"/>
              </w:rPr>
            </w:pPr>
            <w:r w:rsidRPr="00754FDF">
              <w:rPr>
                <w:sz w:val="24"/>
                <w:szCs w:val="24"/>
              </w:rPr>
              <w:t>105,3</w:t>
            </w:r>
          </w:p>
        </w:tc>
        <w:tc>
          <w:tcPr>
            <w:tcW w:w="486" w:type="pct"/>
            <w:gridSpan w:val="2"/>
            <w:tcBorders>
              <w:top w:val="single" w:sz="4" w:space="0" w:color="auto"/>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172,3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172,3</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Электрическая энергия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2457D" w:rsidP="009B0C9B">
            <w:pPr>
              <w:jc w:val="center"/>
              <w:rPr>
                <w:color w:val="000000"/>
                <w:sz w:val="24"/>
                <w:szCs w:val="24"/>
              </w:rPr>
            </w:pPr>
            <w:r>
              <w:rPr>
                <w:color w:val="000000"/>
                <w:sz w:val="24"/>
                <w:szCs w:val="24"/>
              </w:rPr>
              <w:t>1357,0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532,7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2457D" w:rsidP="009B0C9B">
            <w:pPr>
              <w:jc w:val="center"/>
              <w:rPr>
                <w:sz w:val="24"/>
                <w:szCs w:val="24"/>
              </w:rPr>
            </w:pPr>
            <w:r>
              <w:rPr>
                <w:sz w:val="24"/>
                <w:szCs w:val="24"/>
              </w:rPr>
              <w:t>586,3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374339">
            <w:pPr>
              <w:jc w:val="center"/>
              <w:rPr>
                <w:color w:val="000000"/>
                <w:sz w:val="24"/>
                <w:szCs w:val="24"/>
              </w:rPr>
            </w:pPr>
            <w:r>
              <w:rPr>
                <w:color w:val="000000"/>
                <w:sz w:val="24"/>
                <w:szCs w:val="24"/>
              </w:rPr>
              <w:t>1</w:t>
            </w:r>
            <w:r w:rsidR="00374339">
              <w:rPr>
                <w:color w:val="000000"/>
                <w:sz w:val="24"/>
                <w:szCs w:val="24"/>
              </w:rPr>
              <w:t>38</w:t>
            </w:r>
            <w:r>
              <w:rPr>
                <w:color w:val="000000"/>
                <w:sz w:val="24"/>
                <w:szCs w:val="24"/>
              </w:rPr>
              <w:t>,0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Водоотведение, водопотребление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37,1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5,7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A521F6" w:rsidP="009B0C9B">
            <w:pPr>
              <w:jc w:val="center"/>
              <w:rPr>
                <w:sz w:val="24"/>
                <w:szCs w:val="24"/>
              </w:rPr>
            </w:pPr>
            <w:r w:rsidRPr="00754FDF">
              <w:rPr>
                <w:sz w:val="24"/>
                <w:szCs w:val="24"/>
              </w:rPr>
              <w:t>20,0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5,7</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5,7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Отопление здания администрации</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2457D" w:rsidP="009B0C9B">
            <w:pPr>
              <w:jc w:val="center"/>
              <w:rPr>
                <w:color w:val="000000"/>
                <w:sz w:val="24"/>
                <w:szCs w:val="24"/>
              </w:rPr>
            </w:pPr>
            <w:r>
              <w:rPr>
                <w:color w:val="000000"/>
                <w:sz w:val="24"/>
                <w:szCs w:val="24"/>
              </w:rPr>
              <w:t>855,4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259,2</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2457D" w:rsidP="009B0C9B">
            <w:pPr>
              <w:jc w:val="center"/>
              <w:rPr>
                <w:sz w:val="24"/>
                <w:szCs w:val="24"/>
              </w:rPr>
            </w:pPr>
            <w:r>
              <w:rPr>
                <w:sz w:val="24"/>
                <w:szCs w:val="24"/>
              </w:rPr>
              <w:t>90,0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253,1</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253,1</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Заправка картриджей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0E5146">
            <w:pPr>
              <w:jc w:val="center"/>
              <w:rPr>
                <w:color w:val="000000"/>
                <w:sz w:val="24"/>
                <w:szCs w:val="24"/>
              </w:rPr>
            </w:pPr>
            <w:r>
              <w:rPr>
                <w:color w:val="000000"/>
                <w:sz w:val="24"/>
                <w:szCs w:val="24"/>
              </w:rPr>
              <w:t>1</w:t>
            </w:r>
            <w:r w:rsidR="000E5146">
              <w:rPr>
                <w:color w:val="000000"/>
                <w:sz w:val="24"/>
                <w:szCs w:val="24"/>
              </w:rPr>
              <w:t>1</w:t>
            </w:r>
            <w:r>
              <w:rPr>
                <w:color w:val="000000"/>
                <w:sz w:val="24"/>
                <w:szCs w:val="24"/>
              </w:rPr>
              <w:t>7,4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1</w:t>
            </w:r>
            <w:r w:rsidR="000E50CB" w:rsidRPr="00754FDF">
              <w:rPr>
                <w:sz w:val="24"/>
                <w:szCs w:val="24"/>
              </w:rPr>
              <w:t>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Технический осмотр автомобилей</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Ремонт принтера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30,0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374339" w:rsidP="00C56080">
            <w:pPr>
              <w:jc w:val="center"/>
              <w:rPr>
                <w:color w:val="000000"/>
                <w:sz w:val="24"/>
                <w:szCs w:val="24"/>
              </w:rPr>
            </w:pPr>
            <w:r>
              <w:rPr>
                <w:color w:val="000000"/>
                <w:sz w:val="24"/>
                <w:szCs w:val="24"/>
              </w:rPr>
              <w:t>30,0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Выдача акта экспертизы</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754FDF" w:rsidP="009B0C9B">
            <w:pPr>
              <w:jc w:val="center"/>
              <w:rPr>
                <w:sz w:val="24"/>
                <w:szCs w:val="24"/>
              </w:rPr>
            </w:pPr>
            <w:r>
              <w:rPr>
                <w:sz w:val="24"/>
                <w:szCs w:val="24"/>
              </w:rPr>
              <w:t>0,3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ГПД уборщицы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0E5146">
            <w:pPr>
              <w:jc w:val="center"/>
              <w:rPr>
                <w:color w:val="000000"/>
                <w:sz w:val="24"/>
                <w:szCs w:val="24"/>
              </w:rPr>
            </w:pPr>
            <w:r>
              <w:rPr>
                <w:color w:val="000000"/>
                <w:sz w:val="24"/>
                <w:szCs w:val="24"/>
              </w:rPr>
              <w:t>122,7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D53B21" w:rsidP="009B0C9B">
            <w:pPr>
              <w:jc w:val="center"/>
              <w:rPr>
                <w:color w:val="000000"/>
                <w:sz w:val="24"/>
                <w:szCs w:val="24"/>
              </w:rPr>
            </w:pPr>
            <w:r>
              <w:rPr>
                <w:color w:val="000000"/>
                <w:sz w:val="24"/>
                <w:szCs w:val="24"/>
              </w:rPr>
              <w:t>47,3</w:t>
            </w:r>
          </w:p>
        </w:tc>
        <w:tc>
          <w:tcPr>
            <w:tcW w:w="466" w:type="pct"/>
            <w:gridSpan w:val="2"/>
            <w:tcBorders>
              <w:top w:val="nil"/>
              <w:left w:val="nil"/>
              <w:bottom w:val="single" w:sz="4" w:space="0" w:color="auto"/>
              <w:right w:val="single" w:sz="4" w:space="0" w:color="auto"/>
            </w:tcBorders>
            <w:shd w:val="clear" w:color="auto" w:fill="auto"/>
          </w:tcPr>
          <w:p w:rsidR="000E5146" w:rsidRPr="00754FDF" w:rsidRDefault="00A521F6" w:rsidP="000E5146">
            <w:pPr>
              <w:jc w:val="center"/>
              <w:rPr>
                <w:sz w:val="24"/>
                <w:szCs w:val="24"/>
              </w:rPr>
            </w:pPr>
            <w:r w:rsidRPr="00754FDF">
              <w:rPr>
                <w:sz w:val="24"/>
                <w:szCs w:val="24"/>
              </w:rPr>
              <w:t>75,4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97,5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8,7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29,6</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29,6</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29,6</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Пожарная сигнализация</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21,0</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21</w:t>
            </w:r>
            <w:r w:rsidR="00D324E1"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146"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146"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Налог на имущество, земельный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30,3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14,1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8,2</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4,0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4,0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Транспортный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112,9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24,9</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32,0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28,0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28,0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оргтехнике </w:t>
            </w:r>
          </w:p>
        </w:tc>
        <w:tc>
          <w:tcPr>
            <w:tcW w:w="651" w:type="pct"/>
            <w:gridSpan w:val="2"/>
            <w:tcBorders>
              <w:top w:val="nil"/>
              <w:left w:val="nil"/>
              <w:bottom w:val="single" w:sz="4" w:space="0" w:color="auto"/>
              <w:right w:val="single" w:sz="4" w:space="0" w:color="auto"/>
            </w:tcBorders>
            <w:shd w:val="clear" w:color="auto" w:fill="auto"/>
          </w:tcPr>
          <w:p w:rsidR="000E50CB" w:rsidRDefault="000E5146" w:rsidP="009B0C9B">
            <w:pPr>
              <w:jc w:val="center"/>
              <w:rPr>
                <w:color w:val="000000"/>
                <w:sz w:val="24"/>
                <w:szCs w:val="24"/>
              </w:rPr>
            </w:pPr>
            <w:r>
              <w:rPr>
                <w:color w:val="000000"/>
                <w:sz w:val="24"/>
                <w:szCs w:val="24"/>
              </w:rPr>
              <w:t>3</w:t>
            </w:r>
            <w:r w:rsidR="000E50CB">
              <w:rPr>
                <w:color w:val="000000"/>
                <w:sz w:val="24"/>
                <w:szCs w:val="24"/>
              </w:rPr>
              <w:t>8,0</w:t>
            </w:r>
          </w:p>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28,0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10,0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автомашине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C0488B">
            <w:pPr>
              <w:jc w:val="center"/>
              <w:rPr>
                <w:color w:val="000000"/>
                <w:sz w:val="24"/>
                <w:szCs w:val="24"/>
              </w:rPr>
            </w:pPr>
            <w:r>
              <w:rPr>
                <w:color w:val="000000"/>
                <w:sz w:val="24"/>
                <w:szCs w:val="24"/>
              </w:rPr>
              <w:t>307,</w:t>
            </w:r>
            <w:r w:rsidR="00C0488B">
              <w:rPr>
                <w:color w:val="000000"/>
                <w:sz w:val="24"/>
                <w:szCs w:val="24"/>
              </w:rPr>
              <w:t>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C0488B">
            <w:pPr>
              <w:jc w:val="center"/>
              <w:rPr>
                <w:color w:val="000000"/>
                <w:sz w:val="24"/>
                <w:szCs w:val="24"/>
              </w:rPr>
            </w:pPr>
            <w:r>
              <w:rPr>
                <w:color w:val="000000"/>
                <w:sz w:val="24"/>
                <w:szCs w:val="24"/>
              </w:rPr>
              <w:t>125,</w:t>
            </w:r>
            <w:r w:rsidR="00C0488B">
              <w:rPr>
                <w:color w:val="000000"/>
                <w:sz w:val="24"/>
                <w:szCs w:val="24"/>
              </w:rPr>
              <w:t>8</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74,5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53,8</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53,8</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ГСМ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1F5DEB" w:rsidP="009B0C9B">
            <w:pPr>
              <w:jc w:val="center"/>
              <w:rPr>
                <w:color w:val="000000"/>
                <w:sz w:val="24"/>
                <w:szCs w:val="24"/>
              </w:rPr>
            </w:pPr>
            <w:r>
              <w:rPr>
                <w:color w:val="000000"/>
                <w:sz w:val="24"/>
                <w:szCs w:val="24"/>
              </w:rPr>
              <w:t>1408,1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418,1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288,0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351,0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351,0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строительных материалов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23,3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8,5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7,4</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7,4</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Установка окон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437A4" w:rsidP="009B0C9B">
            <w:pPr>
              <w:jc w:val="center"/>
              <w:rPr>
                <w:color w:val="000000"/>
                <w:sz w:val="24"/>
                <w:szCs w:val="24"/>
              </w:rPr>
            </w:pPr>
            <w:r>
              <w:rPr>
                <w:color w:val="000000"/>
                <w:sz w:val="24"/>
                <w:szCs w:val="24"/>
              </w:rPr>
              <w:t>446,7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146,7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932943">
        <w:trPr>
          <w:trHeight w:val="315"/>
        </w:trPr>
        <w:tc>
          <w:tcPr>
            <w:tcW w:w="305"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Приобретение ОС</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777,3</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329,9</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147,4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r>
      <w:tr w:rsidR="00802C2C" w:rsidRPr="009B0C9B" w:rsidTr="00932943">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Всего по программе:</w:t>
            </w: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32457D" w:rsidP="00754FDF">
            <w:pPr>
              <w:jc w:val="center"/>
              <w:rPr>
                <w:b/>
                <w:bCs/>
                <w:color w:val="000000"/>
                <w:sz w:val="24"/>
                <w:szCs w:val="24"/>
              </w:rPr>
            </w:pPr>
            <w:r>
              <w:rPr>
                <w:b/>
                <w:bCs/>
                <w:color w:val="000000"/>
                <w:sz w:val="24"/>
                <w:szCs w:val="24"/>
              </w:rPr>
              <w:t>6353,3</w:t>
            </w:r>
          </w:p>
        </w:tc>
        <w:tc>
          <w:tcPr>
            <w:tcW w:w="463" w:type="pct"/>
            <w:gridSpan w:val="2"/>
            <w:tcBorders>
              <w:top w:val="nil"/>
              <w:left w:val="nil"/>
              <w:bottom w:val="single" w:sz="4" w:space="0" w:color="auto"/>
              <w:right w:val="single" w:sz="4" w:space="0" w:color="auto"/>
            </w:tcBorders>
            <w:shd w:val="clear" w:color="auto" w:fill="auto"/>
            <w:hideMark/>
          </w:tcPr>
          <w:p w:rsidR="00802C2C" w:rsidRPr="00D53B21" w:rsidRDefault="00D53B21" w:rsidP="009B0C9B">
            <w:pPr>
              <w:jc w:val="center"/>
              <w:rPr>
                <w:b/>
                <w:bCs/>
                <w:color w:val="000000"/>
                <w:sz w:val="24"/>
                <w:szCs w:val="24"/>
              </w:rPr>
            </w:pPr>
            <w:r w:rsidRPr="00D53B21">
              <w:rPr>
                <w:b/>
                <w:bCs/>
                <w:color w:val="000000"/>
                <w:sz w:val="24"/>
                <w:szCs w:val="24"/>
              </w:rPr>
              <w:t>1994,9</w:t>
            </w:r>
          </w:p>
        </w:tc>
        <w:tc>
          <w:tcPr>
            <w:tcW w:w="466" w:type="pct"/>
            <w:gridSpan w:val="2"/>
            <w:tcBorders>
              <w:top w:val="nil"/>
              <w:left w:val="nil"/>
              <w:bottom w:val="single" w:sz="4" w:space="0" w:color="auto"/>
              <w:right w:val="single" w:sz="4" w:space="0" w:color="auto"/>
            </w:tcBorders>
            <w:shd w:val="clear" w:color="auto" w:fill="auto"/>
          </w:tcPr>
          <w:p w:rsidR="00802C2C" w:rsidRPr="009B0C9B" w:rsidRDefault="0032457D" w:rsidP="009B0C9B">
            <w:pPr>
              <w:jc w:val="center"/>
              <w:rPr>
                <w:b/>
                <w:bCs/>
                <w:color w:val="000000"/>
                <w:sz w:val="24"/>
                <w:szCs w:val="24"/>
              </w:rPr>
            </w:pPr>
            <w:r>
              <w:rPr>
                <w:b/>
                <w:bCs/>
                <w:color w:val="000000"/>
                <w:sz w:val="24"/>
                <w:szCs w:val="24"/>
              </w:rPr>
              <w:t>1513,9</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b/>
                <w:bCs/>
                <w:color w:val="000000"/>
                <w:sz w:val="24"/>
                <w:szCs w:val="24"/>
              </w:rPr>
            </w:pPr>
            <w:r>
              <w:rPr>
                <w:b/>
                <w:bCs/>
                <w:color w:val="000000"/>
                <w:sz w:val="24"/>
                <w:szCs w:val="24"/>
              </w:rPr>
              <w:t>1564,9</w:t>
            </w:r>
          </w:p>
        </w:tc>
        <w:tc>
          <w:tcPr>
            <w:tcW w:w="489" w:type="pct"/>
            <w:gridSpan w:val="2"/>
            <w:tcBorders>
              <w:top w:val="nil"/>
              <w:left w:val="single" w:sz="4" w:space="0" w:color="auto"/>
              <w:bottom w:val="single" w:sz="4" w:space="0" w:color="auto"/>
              <w:right w:val="single" w:sz="4" w:space="0" w:color="auto"/>
            </w:tcBorders>
            <w:shd w:val="clear" w:color="auto" w:fill="auto"/>
          </w:tcPr>
          <w:p w:rsidR="00802C2C" w:rsidRPr="009B0C9B" w:rsidRDefault="007437A4" w:rsidP="009B0C9B">
            <w:pPr>
              <w:jc w:val="center"/>
              <w:rPr>
                <w:b/>
                <w:bCs/>
                <w:color w:val="000000"/>
                <w:sz w:val="24"/>
                <w:szCs w:val="24"/>
              </w:rPr>
            </w:pPr>
            <w:r>
              <w:rPr>
                <w:b/>
                <w:bCs/>
                <w:color w:val="000000"/>
                <w:sz w:val="24"/>
                <w:szCs w:val="24"/>
              </w:rPr>
              <w:t>1279,6</w:t>
            </w:r>
          </w:p>
        </w:tc>
        <w:tc>
          <w:tcPr>
            <w:tcW w:w="953"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r>
      <w:tr w:rsidR="00802C2C" w:rsidRPr="009B0C9B" w:rsidTr="00932943">
        <w:trPr>
          <w:trHeight w:val="315"/>
        </w:trPr>
        <w:tc>
          <w:tcPr>
            <w:tcW w:w="305"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1187"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3"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6"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486" w:type="pct"/>
            <w:gridSpan w:val="2"/>
            <w:tcBorders>
              <w:top w:val="nil"/>
              <w:left w:val="nil"/>
              <w:bottom w:val="nil"/>
              <w:right w:val="nil"/>
            </w:tcBorders>
          </w:tcPr>
          <w:p w:rsidR="00802C2C" w:rsidRPr="009B0C9B" w:rsidRDefault="00802C2C" w:rsidP="009B0C9B">
            <w:pPr>
              <w:jc w:val="center"/>
              <w:rPr>
                <w:color w:val="000000"/>
                <w:sz w:val="24"/>
                <w:szCs w:val="24"/>
              </w:rPr>
            </w:pPr>
          </w:p>
        </w:tc>
        <w:tc>
          <w:tcPr>
            <w:tcW w:w="489"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953"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r>
    </w:tbl>
    <w:p w:rsidR="00433186" w:rsidRPr="006D1B10" w:rsidRDefault="000E50CB" w:rsidP="003338FC">
      <w:pPr>
        <w:spacing w:after="150"/>
        <w:ind w:firstLine="709"/>
        <w:rPr>
          <w:color w:val="3C3C3C"/>
          <w:sz w:val="28"/>
          <w:szCs w:val="28"/>
        </w:rPr>
      </w:pPr>
      <w:r>
        <w:rPr>
          <w:sz w:val="28"/>
          <w:szCs w:val="28"/>
        </w:rPr>
        <w:t>4</w:t>
      </w:r>
      <w:r w:rsidR="00433186" w:rsidRPr="00433186">
        <w:rPr>
          <w:sz w:val="28"/>
          <w:szCs w:val="28"/>
        </w:rPr>
        <w:t>. Контроль за исполнением настоящего постановления оставляю за собой.</w:t>
      </w:r>
    </w:p>
    <w:p w:rsidR="00433186" w:rsidRPr="00433186" w:rsidRDefault="000E50CB" w:rsidP="00433186">
      <w:pPr>
        <w:ind w:firstLine="720"/>
        <w:jc w:val="both"/>
        <w:rPr>
          <w:sz w:val="28"/>
          <w:szCs w:val="28"/>
        </w:rPr>
      </w:pPr>
      <w:bookmarkStart w:id="1" w:name="sub_4"/>
      <w:r>
        <w:rPr>
          <w:sz w:val="28"/>
          <w:szCs w:val="28"/>
        </w:rPr>
        <w:t>5</w:t>
      </w:r>
      <w:r w:rsidR="00433186" w:rsidRPr="00433186">
        <w:rPr>
          <w:sz w:val="28"/>
          <w:szCs w:val="28"/>
        </w:rPr>
        <w:t xml:space="preserve">. Настоящее постановление вступает в силу со дня </w:t>
      </w:r>
      <w:r w:rsidR="00433186" w:rsidRPr="00595EED">
        <w:rPr>
          <w:sz w:val="28"/>
          <w:szCs w:val="28"/>
        </w:rPr>
        <w:t xml:space="preserve">его </w:t>
      </w:r>
      <w:r w:rsidR="00116B15">
        <w:rPr>
          <w:sz w:val="28"/>
          <w:szCs w:val="28"/>
        </w:rPr>
        <w:t xml:space="preserve">официального </w:t>
      </w:r>
      <w:hyperlink r:id="rId7" w:history="1">
        <w:r w:rsidR="00433186" w:rsidRPr="00595EED">
          <w:rPr>
            <w:rStyle w:val="ab"/>
            <w:color w:val="auto"/>
            <w:sz w:val="28"/>
            <w:szCs w:val="28"/>
            <w:u w:val="none"/>
          </w:rPr>
          <w:t>опубликования</w:t>
        </w:r>
      </w:hyperlink>
      <w:r w:rsidR="00433186" w:rsidRPr="00433186">
        <w:rPr>
          <w:sz w:val="28"/>
          <w:szCs w:val="28"/>
        </w:rPr>
        <w:t>.</w:t>
      </w:r>
      <w:bookmarkEnd w:id="1"/>
    </w:p>
    <w:p w:rsidR="00433186" w:rsidRPr="00116B15" w:rsidRDefault="00433186" w:rsidP="00116B15">
      <w:pPr>
        <w:jc w:val="both"/>
        <w:rPr>
          <w:sz w:val="28"/>
          <w:szCs w:val="28"/>
        </w:rPr>
      </w:pPr>
    </w:p>
    <w:p w:rsidR="00C2244C" w:rsidRPr="00116B15" w:rsidRDefault="003338FC" w:rsidP="003338FC">
      <w:pPr>
        <w:jc w:val="both"/>
        <w:rPr>
          <w:sz w:val="28"/>
          <w:szCs w:val="28"/>
        </w:rPr>
      </w:pPr>
      <w:r>
        <w:rPr>
          <w:color w:val="000000"/>
          <w:spacing w:val="-13"/>
          <w:sz w:val="28"/>
          <w:szCs w:val="28"/>
        </w:rPr>
        <w:t xml:space="preserve">              </w:t>
      </w:r>
      <w:r w:rsidR="00EB08DF">
        <w:rPr>
          <w:color w:val="000000"/>
          <w:spacing w:val="-13"/>
          <w:sz w:val="28"/>
          <w:szCs w:val="28"/>
        </w:rPr>
        <w:t>Глава местной администрации</w:t>
      </w:r>
      <w:r w:rsidR="00116B15">
        <w:rPr>
          <w:sz w:val="28"/>
          <w:szCs w:val="28"/>
        </w:rPr>
        <w:t xml:space="preserve">                           </w:t>
      </w:r>
      <w:r w:rsidR="00EB08DF">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w:t>
      </w:r>
      <w:r w:rsidR="009B0C9B">
        <w:rPr>
          <w:sz w:val="28"/>
          <w:szCs w:val="28"/>
        </w:rPr>
        <w:t>Д.С. Фунтов</w:t>
      </w:r>
    </w:p>
    <w:sectPr w:rsidR="00C2244C" w:rsidRPr="00116B15" w:rsidSect="00D53B21">
      <w:headerReference w:type="default" r:id="rId8"/>
      <w:footerReference w:type="default" r:id="rId9"/>
      <w:pgSz w:w="11907" w:h="16840" w:code="9"/>
      <w:pgMar w:top="426" w:right="567" w:bottom="568" w:left="1418" w:header="62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C" w:rsidRDefault="00D657FC">
      <w:r>
        <w:separator/>
      </w:r>
    </w:p>
  </w:endnote>
  <w:endnote w:type="continuationSeparator" w:id="0">
    <w:p w:rsidR="00D657FC" w:rsidRDefault="00D6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C" w:rsidRDefault="00D657FC">
      <w:r>
        <w:separator/>
      </w:r>
    </w:p>
  </w:footnote>
  <w:footnote w:type="continuationSeparator" w:id="0">
    <w:p w:rsidR="00D657FC" w:rsidRDefault="00D657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3" w:rsidRDefault="00741B78">
    <w:pPr>
      <w:pStyle w:val="a3"/>
      <w:jc w:val="center"/>
    </w:pPr>
    <w:r>
      <w:fldChar w:fldCharType="begin"/>
    </w:r>
    <w:r>
      <w:instrText xml:space="preserve"> PAGE   \* MERGEFORMAT </w:instrText>
    </w:r>
    <w:r>
      <w:fldChar w:fldCharType="separate"/>
    </w:r>
    <w:r w:rsidR="00320BCD">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93"/>
    <w:rsid w:val="00003BC6"/>
    <w:rsid w:val="00006171"/>
    <w:rsid w:val="0000744C"/>
    <w:rsid w:val="000168D5"/>
    <w:rsid w:val="00017354"/>
    <w:rsid w:val="00023E90"/>
    <w:rsid w:val="00024B88"/>
    <w:rsid w:val="00034A3C"/>
    <w:rsid w:val="00041E71"/>
    <w:rsid w:val="0004316E"/>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C2E46"/>
    <w:rsid w:val="000D157B"/>
    <w:rsid w:val="000D1CA1"/>
    <w:rsid w:val="000E16DB"/>
    <w:rsid w:val="000E446A"/>
    <w:rsid w:val="000E50CB"/>
    <w:rsid w:val="000E5146"/>
    <w:rsid w:val="0011337A"/>
    <w:rsid w:val="00114E81"/>
    <w:rsid w:val="00116B15"/>
    <w:rsid w:val="001170FA"/>
    <w:rsid w:val="00120901"/>
    <w:rsid w:val="00131BB7"/>
    <w:rsid w:val="00132253"/>
    <w:rsid w:val="00132936"/>
    <w:rsid w:val="0013523D"/>
    <w:rsid w:val="00135BFF"/>
    <w:rsid w:val="00147E47"/>
    <w:rsid w:val="00152DE8"/>
    <w:rsid w:val="00153CF5"/>
    <w:rsid w:val="0015502C"/>
    <w:rsid w:val="001646EA"/>
    <w:rsid w:val="0016695D"/>
    <w:rsid w:val="00166E62"/>
    <w:rsid w:val="00180745"/>
    <w:rsid w:val="001953B9"/>
    <w:rsid w:val="001A4A04"/>
    <w:rsid w:val="001A6175"/>
    <w:rsid w:val="001C0F6A"/>
    <w:rsid w:val="001C2C64"/>
    <w:rsid w:val="001C5447"/>
    <w:rsid w:val="001D152D"/>
    <w:rsid w:val="001D7A7D"/>
    <w:rsid w:val="001E25B4"/>
    <w:rsid w:val="001F5868"/>
    <w:rsid w:val="001F5DEB"/>
    <w:rsid w:val="00202E20"/>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4663"/>
    <w:rsid w:val="002957E0"/>
    <w:rsid w:val="002969F8"/>
    <w:rsid w:val="00296E64"/>
    <w:rsid w:val="002A1F9A"/>
    <w:rsid w:val="002C04AE"/>
    <w:rsid w:val="002C273A"/>
    <w:rsid w:val="002E785F"/>
    <w:rsid w:val="002F2F1C"/>
    <w:rsid w:val="002F5F52"/>
    <w:rsid w:val="002F7112"/>
    <w:rsid w:val="002F7FB3"/>
    <w:rsid w:val="0030442C"/>
    <w:rsid w:val="0031024E"/>
    <w:rsid w:val="00316024"/>
    <w:rsid w:val="00320BCD"/>
    <w:rsid w:val="0032457D"/>
    <w:rsid w:val="00325A55"/>
    <w:rsid w:val="003338FC"/>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40A9"/>
    <w:rsid w:val="003D66F8"/>
    <w:rsid w:val="003D6809"/>
    <w:rsid w:val="003D745C"/>
    <w:rsid w:val="003E1641"/>
    <w:rsid w:val="003E4CE6"/>
    <w:rsid w:val="003F4ECE"/>
    <w:rsid w:val="003F7167"/>
    <w:rsid w:val="00401B74"/>
    <w:rsid w:val="00404342"/>
    <w:rsid w:val="00412357"/>
    <w:rsid w:val="00412CBD"/>
    <w:rsid w:val="0041571B"/>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C0681"/>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048A"/>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21AF2"/>
    <w:rsid w:val="006221A7"/>
    <w:rsid w:val="0062377C"/>
    <w:rsid w:val="00630DF6"/>
    <w:rsid w:val="00632CD6"/>
    <w:rsid w:val="006343B8"/>
    <w:rsid w:val="0063684F"/>
    <w:rsid w:val="00643C70"/>
    <w:rsid w:val="0065054C"/>
    <w:rsid w:val="00650AD0"/>
    <w:rsid w:val="00651D24"/>
    <w:rsid w:val="006525CD"/>
    <w:rsid w:val="00654219"/>
    <w:rsid w:val="00671040"/>
    <w:rsid w:val="00673B0F"/>
    <w:rsid w:val="00686BAE"/>
    <w:rsid w:val="00692096"/>
    <w:rsid w:val="006929EC"/>
    <w:rsid w:val="006A7EBF"/>
    <w:rsid w:val="006B0A51"/>
    <w:rsid w:val="006D1B10"/>
    <w:rsid w:val="006D2755"/>
    <w:rsid w:val="006D5E27"/>
    <w:rsid w:val="006E10EC"/>
    <w:rsid w:val="006E6045"/>
    <w:rsid w:val="006F283C"/>
    <w:rsid w:val="006F5CF9"/>
    <w:rsid w:val="00702014"/>
    <w:rsid w:val="00703F54"/>
    <w:rsid w:val="00704908"/>
    <w:rsid w:val="0070653F"/>
    <w:rsid w:val="00714636"/>
    <w:rsid w:val="00717427"/>
    <w:rsid w:val="00726832"/>
    <w:rsid w:val="007307D3"/>
    <w:rsid w:val="007348A6"/>
    <w:rsid w:val="00741B78"/>
    <w:rsid w:val="00741E54"/>
    <w:rsid w:val="007437A4"/>
    <w:rsid w:val="00751C27"/>
    <w:rsid w:val="00754FDF"/>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3B11"/>
    <w:rsid w:val="008159A6"/>
    <w:rsid w:val="00835072"/>
    <w:rsid w:val="0084244E"/>
    <w:rsid w:val="008503FD"/>
    <w:rsid w:val="00854D52"/>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15F1C"/>
    <w:rsid w:val="0092463B"/>
    <w:rsid w:val="009277B5"/>
    <w:rsid w:val="00930C31"/>
    <w:rsid w:val="009327EE"/>
    <w:rsid w:val="00932943"/>
    <w:rsid w:val="00932F8A"/>
    <w:rsid w:val="009353EB"/>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1F6"/>
    <w:rsid w:val="00A52600"/>
    <w:rsid w:val="00A57F52"/>
    <w:rsid w:val="00A62767"/>
    <w:rsid w:val="00A64D38"/>
    <w:rsid w:val="00A65F7E"/>
    <w:rsid w:val="00A721F9"/>
    <w:rsid w:val="00A80164"/>
    <w:rsid w:val="00A81FD9"/>
    <w:rsid w:val="00A837EE"/>
    <w:rsid w:val="00A91569"/>
    <w:rsid w:val="00A956E8"/>
    <w:rsid w:val="00A964DC"/>
    <w:rsid w:val="00AA1DAC"/>
    <w:rsid w:val="00AB6192"/>
    <w:rsid w:val="00AB751E"/>
    <w:rsid w:val="00AC7FF0"/>
    <w:rsid w:val="00AD0D68"/>
    <w:rsid w:val="00AD1DC7"/>
    <w:rsid w:val="00AD4FB9"/>
    <w:rsid w:val="00AE1738"/>
    <w:rsid w:val="00AF2119"/>
    <w:rsid w:val="00AF581D"/>
    <w:rsid w:val="00B01109"/>
    <w:rsid w:val="00B055C2"/>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C0766"/>
    <w:rsid w:val="00BC40FC"/>
    <w:rsid w:val="00BD0703"/>
    <w:rsid w:val="00BD0F69"/>
    <w:rsid w:val="00BD7D78"/>
    <w:rsid w:val="00BE4C28"/>
    <w:rsid w:val="00BF33EF"/>
    <w:rsid w:val="00C0284D"/>
    <w:rsid w:val="00C0488B"/>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5DF0"/>
    <w:rsid w:val="00D065EE"/>
    <w:rsid w:val="00D1312C"/>
    <w:rsid w:val="00D211A8"/>
    <w:rsid w:val="00D21D2A"/>
    <w:rsid w:val="00D2302E"/>
    <w:rsid w:val="00D247A8"/>
    <w:rsid w:val="00D25C09"/>
    <w:rsid w:val="00D3034B"/>
    <w:rsid w:val="00D324E1"/>
    <w:rsid w:val="00D37454"/>
    <w:rsid w:val="00D53B21"/>
    <w:rsid w:val="00D53C5B"/>
    <w:rsid w:val="00D55995"/>
    <w:rsid w:val="00D55D00"/>
    <w:rsid w:val="00D651D3"/>
    <w:rsid w:val="00D657A6"/>
    <w:rsid w:val="00D657FC"/>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66DB"/>
    <w:rsid w:val="00DE2DE1"/>
    <w:rsid w:val="00DE3D8F"/>
    <w:rsid w:val="00DF78BE"/>
    <w:rsid w:val="00E034DB"/>
    <w:rsid w:val="00E12F38"/>
    <w:rsid w:val="00E25A28"/>
    <w:rsid w:val="00E33E68"/>
    <w:rsid w:val="00E35D26"/>
    <w:rsid w:val="00E36A18"/>
    <w:rsid w:val="00E429C1"/>
    <w:rsid w:val="00E44EBA"/>
    <w:rsid w:val="00E5471E"/>
    <w:rsid w:val="00E5736E"/>
    <w:rsid w:val="00E6049B"/>
    <w:rsid w:val="00E65403"/>
    <w:rsid w:val="00E75CFA"/>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803BE"/>
    <w:rsid w:val="00F861B4"/>
    <w:rsid w:val="00FA0557"/>
    <w:rsid w:val="00FC2A06"/>
    <w:rsid w:val="00FC3710"/>
    <w:rsid w:val="00FD718E"/>
    <w:rsid w:val="00FE0148"/>
    <w:rsid w:val="00FE27FA"/>
    <w:rsid w:val="00FE557A"/>
    <w:rsid w:val="00FE573D"/>
    <w:rsid w:val="00FE59D9"/>
    <w:rsid w:val="00FE7511"/>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25911-588F-4507-9D58-2EAACE72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0</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1818</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2021-07-26T11:55:00Z</cp:lastPrinted>
  <dcterms:created xsi:type="dcterms:W3CDTF">2021-08-25T10:32:00Z</dcterms:created>
  <dcterms:modified xsi:type="dcterms:W3CDTF">2021-08-25T10:32:00Z</dcterms:modified>
</cp:coreProperties>
</file>